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7C" w:rsidRPr="00E5502E" w:rsidRDefault="00522D70" w:rsidP="00B604EE">
      <w:pPr>
        <w:spacing w:after="0"/>
        <w:jc w:val="both"/>
        <w:rPr>
          <w:noProof/>
          <w:lang w:val="en-GB"/>
        </w:rPr>
      </w:pPr>
      <w:r>
        <w:rPr>
          <w:rFonts w:ascii="Bookman Old Style" w:hAnsi="Bookman Old Style"/>
          <w:b/>
          <w:noProof/>
          <w:sz w:val="32"/>
          <w:szCs w:val="32"/>
        </w:rPr>
        <w:t>Examinership:</w:t>
      </w:r>
      <w:r w:rsidR="00E5502E">
        <w:rPr>
          <w:rFonts w:ascii="Bookman Old Style" w:hAnsi="Bookman Old Style"/>
          <w:b/>
          <w:noProof/>
          <w:sz w:val="32"/>
          <w:szCs w:val="32"/>
        </w:rPr>
        <w:t xml:space="preserve"> </w:t>
      </w:r>
      <w:r w:rsidR="008E4498">
        <w:rPr>
          <w:rFonts w:ascii="Bookman Old Style" w:hAnsi="Bookman Old Style"/>
          <w:b/>
          <w:noProof/>
          <w:sz w:val="32"/>
          <w:szCs w:val="32"/>
        </w:rPr>
        <w:t>Potential for</w:t>
      </w:r>
      <w:r w:rsidR="00E5502E">
        <w:rPr>
          <w:rFonts w:ascii="Bookman Old Style" w:hAnsi="Bookman Old Style"/>
          <w:b/>
          <w:noProof/>
          <w:sz w:val="32"/>
          <w:szCs w:val="32"/>
        </w:rPr>
        <w:t xml:space="preserve"> Abuse</w:t>
      </w:r>
      <w:r>
        <w:rPr>
          <w:rFonts w:ascii="Bookman Old Style" w:hAnsi="Bookman Old Style"/>
          <w:b/>
          <w:noProof/>
          <w:sz w:val="32"/>
          <w:szCs w:val="32"/>
        </w:rPr>
        <w:t xml:space="preserve"> </w:t>
      </w:r>
    </w:p>
    <w:p w:rsidR="0057367C" w:rsidRDefault="0057367C" w:rsidP="00B604EE">
      <w:pPr>
        <w:spacing w:after="0"/>
        <w:jc w:val="both"/>
        <w:rPr>
          <w:noProof/>
        </w:rPr>
      </w:pPr>
    </w:p>
    <w:p w:rsidR="005942D1" w:rsidRDefault="005942D1" w:rsidP="004F7B41">
      <w:pPr>
        <w:jc w:val="both"/>
        <w:rPr>
          <w:noProof/>
        </w:rPr>
      </w:pPr>
    </w:p>
    <w:p w:rsidR="005942D1" w:rsidRDefault="005942D1" w:rsidP="004F7B41">
      <w:pPr>
        <w:jc w:val="both"/>
        <w:rPr>
          <w:noProof/>
        </w:rPr>
      </w:pPr>
    </w:p>
    <w:p w:rsidR="005712BD" w:rsidRDefault="005942D1" w:rsidP="004F7B41">
      <w:pPr>
        <w:jc w:val="both"/>
        <w:rPr>
          <w:noProof/>
        </w:rPr>
      </w:pPr>
      <w:r w:rsidRPr="005942D1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-762000</wp:posOffset>
            </wp:positionV>
            <wp:extent cx="1704975" cy="1600200"/>
            <wp:effectExtent l="19050" t="0" r="9525" b="0"/>
            <wp:wrapThrough wrapText="bothSides">
              <wp:wrapPolygon edited="0">
                <wp:start x="-241" y="0"/>
                <wp:lineTo x="-241" y="21343"/>
                <wp:lineTo x="21721" y="21343"/>
                <wp:lineTo x="21721" y="0"/>
                <wp:lineTo x="-241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2D1" w:rsidRDefault="005942D1" w:rsidP="004F7B41">
      <w:pPr>
        <w:jc w:val="both"/>
        <w:rPr>
          <w:rFonts w:ascii="Bookman Old Style" w:hAnsi="Bookman Old Style"/>
        </w:rPr>
      </w:pPr>
    </w:p>
    <w:p w:rsidR="005942D1" w:rsidRDefault="005942D1" w:rsidP="004F7B41">
      <w:pPr>
        <w:jc w:val="both"/>
        <w:rPr>
          <w:rFonts w:ascii="Bookman Old Style" w:hAnsi="Bookman Old Style"/>
        </w:rPr>
      </w:pPr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By Andri Antoniou*</w:t>
      </w:r>
    </w:p>
    <w:p w:rsidR="00967E1A" w:rsidRDefault="00967E1A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 December 2014</w:t>
      </w:r>
      <w:bookmarkStart w:id="0" w:name="_GoBack"/>
      <w:bookmarkEnd w:id="0"/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process putting companies </w:t>
      </w:r>
      <w:r w:rsidRPr="004F7B41">
        <w:rPr>
          <w:rFonts w:ascii="Bookman Old Style" w:hAnsi="Bookman Old Style"/>
          <w:i/>
        </w:rPr>
        <w:t>“on life support with no prospect of survival”</w:t>
      </w:r>
      <w:r>
        <w:rPr>
          <w:rFonts w:ascii="Bookman Old Style" w:hAnsi="Bookman Old Style"/>
        </w:rPr>
        <w:t xml:space="preserve"> is how examinership was described by a Judge in Ireland in 2010, who went on to say he was </w:t>
      </w:r>
      <w:r w:rsidRPr="004F7B41">
        <w:rPr>
          <w:rFonts w:ascii="Bookman Old Style" w:hAnsi="Bookman Old Style"/>
          <w:i/>
        </w:rPr>
        <w:t>“more and more reluctant”</w:t>
      </w:r>
      <w:r>
        <w:rPr>
          <w:rFonts w:ascii="Bookman Old Style" w:hAnsi="Bookman Old Style"/>
        </w:rPr>
        <w:t xml:space="preserve"> to afford protection to troubled companies. Yet, this is the regime which is about to be approved by our Parliament before the end of the year as a corporate restructuring </w:t>
      </w:r>
      <w:r w:rsidR="00285614">
        <w:rPr>
          <w:rFonts w:ascii="Bookman Old Style" w:hAnsi="Bookman Old Style"/>
        </w:rPr>
        <w:t xml:space="preserve">tool </w:t>
      </w:r>
      <w:r>
        <w:rPr>
          <w:rFonts w:ascii="Bookman Old Style" w:hAnsi="Bookman Old Style"/>
        </w:rPr>
        <w:t xml:space="preserve">for troubled companies. </w:t>
      </w:r>
    </w:p>
    <w:p w:rsidR="00285614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During a recent seminar on examinership held at the Cyprus Chamber of Commerce and Industry, delivered by a member of the panel of experts that assisted the Government in formulating the Bill, it was explained that, in his opinion, examinership provides a more creditor friendly option than existing insolvency routes such as liquidation, </w:t>
      </w:r>
      <w:r w:rsidR="00285614">
        <w:rPr>
          <w:rFonts w:ascii="Bookman Old Style" w:hAnsi="Bookman Old Style"/>
        </w:rPr>
        <w:t xml:space="preserve">further </w:t>
      </w:r>
      <w:r>
        <w:rPr>
          <w:rFonts w:ascii="Bookman Old Style" w:hAnsi="Bookman Old Style"/>
        </w:rPr>
        <w:t>suggesting that the dividend to creditors</w:t>
      </w:r>
      <w:r w:rsidR="00285614">
        <w:rPr>
          <w:rFonts w:ascii="Bookman Old Style" w:hAnsi="Bookman Old Style"/>
        </w:rPr>
        <w:t xml:space="preserve"> will be much higher.</w:t>
      </w:r>
      <w:r>
        <w:rPr>
          <w:rFonts w:ascii="Bookman Old Style" w:hAnsi="Bookman Old Style"/>
        </w:rPr>
        <w:t xml:space="preserve"> </w:t>
      </w:r>
    </w:p>
    <w:p w:rsidR="004F7B41" w:rsidRDefault="00073A6E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From practical experience of the lengths directors will go to </w:t>
      </w:r>
      <w:r w:rsidR="00E5502E">
        <w:rPr>
          <w:rFonts w:ascii="Bookman Old Style" w:hAnsi="Bookman Old Style"/>
        </w:rPr>
        <w:t xml:space="preserve">to </w:t>
      </w:r>
      <w:r>
        <w:rPr>
          <w:rFonts w:ascii="Bookman Old Style" w:hAnsi="Bookman Old Style"/>
        </w:rPr>
        <w:t>ensure the</w:t>
      </w:r>
      <w:r w:rsidR="00AA550E">
        <w:rPr>
          <w:rFonts w:ascii="Bookman Old Style" w:hAnsi="Bookman Old Style"/>
        </w:rPr>
        <w:t>ir</w:t>
      </w:r>
      <w:r>
        <w:rPr>
          <w:rFonts w:ascii="Bookman Old Style" w:hAnsi="Bookman Old Style"/>
        </w:rPr>
        <w:t xml:space="preserve"> company remains in their control</w:t>
      </w:r>
      <w:r w:rsidR="00E5502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despite </w:t>
      </w:r>
      <w:r w:rsidR="00AA550E">
        <w:rPr>
          <w:rFonts w:ascii="Bookman Old Style" w:hAnsi="Bookman Old Style"/>
        </w:rPr>
        <w:t>its</w:t>
      </w:r>
      <w:r>
        <w:rPr>
          <w:rFonts w:ascii="Bookman Old Style" w:hAnsi="Bookman Old Style"/>
        </w:rPr>
        <w:t xml:space="preserve"> viability</w:t>
      </w:r>
      <w:r w:rsidR="00E5502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4F7B41">
        <w:rPr>
          <w:rFonts w:ascii="Bookman Old Style" w:hAnsi="Bookman Old Style"/>
        </w:rPr>
        <w:t>the only people who stand to gain from this process will be</w:t>
      </w:r>
      <w:r w:rsidR="00471BA4">
        <w:rPr>
          <w:rFonts w:ascii="Bookman Old Style" w:hAnsi="Bookman Old Style"/>
        </w:rPr>
        <w:t xml:space="preserve"> the</w:t>
      </w:r>
      <w:r w:rsidR="004F7B41">
        <w:rPr>
          <w:rFonts w:ascii="Bookman Old Style" w:hAnsi="Bookman Old Style"/>
        </w:rPr>
        <w:t xml:space="preserve"> </w:t>
      </w:r>
      <w:r w:rsidR="00471BA4">
        <w:rPr>
          <w:rFonts w:ascii="Bookman Old Style" w:hAnsi="Bookman Old Style"/>
        </w:rPr>
        <w:t>lawyers appointed to petition the court</w:t>
      </w:r>
      <w:r w:rsidR="006330A6">
        <w:rPr>
          <w:rFonts w:ascii="Bookman Old Style" w:hAnsi="Bookman Old Style"/>
        </w:rPr>
        <w:t>,</w:t>
      </w:r>
      <w:r w:rsidR="00471BA4">
        <w:rPr>
          <w:rFonts w:ascii="Bookman Old Style" w:hAnsi="Bookman Old Style"/>
        </w:rPr>
        <w:t xml:space="preserve"> </w:t>
      </w:r>
      <w:r w:rsidR="00AA550E">
        <w:rPr>
          <w:rFonts w:ascii="Bookman Old Style" w:hAnsi="Bookman Old Style"/>
        </w:rPr>
        <w:t xml:space="preserve">the </w:t>
      </w:r>
      <w:r w:rsidR="00471BA4">
        <w:rPr>
          <w:rFonts w:ascii="Bookman Old Style" w:hAnsi="Bookman Old Style"/>
        </w:rPr>
        <w:t>accountants instructed to prepar</w:t>
      </w:r>
      <w:r w:rsidR="00E5502E">
        <w:rPr>
          <w:rFonts w:ascii="Bookman Old Style" w:hAnsi="Bookman Old Style"/>
        </w:rPr>
        <w:t>e the Independent Accountant’s R</w:t>
      </w:r>
      <w:r w:rsidR="00471BA4">
        <w:rPr>
          <w:rFonts w:ascii="Bookman Old Style" w:hAnsi="Bookman Old Style"/>
        </w:rPr>
        <w:t xml:space="preserve">eport </w:t>
      </w:r>
      <w:r w:rsidR="00285614">
        <w:rPr>
          <w:rFonts w:ascii="Bookman Old Style" w:hAnsi="Bookman Old Style"/>
        </w:rPr>
        <w:t xml:space="preserve">and </w:t>
      </w:r>
      <w:r w:rsidR="004F7B41">
        <w:rPr>
          <w:rFonts w:ascii="Bookman Old Style" w:hAnsi="Bookman Old Style"/>
        </w:rPr>
        <w:t>the Insolvency Practitioners</w:t>
      </w:r>
      <w:r w:rsidR="00471BA4">
        <w:rPr>
          <w:rFonts w:ascii="Bookman Old Style" w:hAnsi="Bookman Old Style"/>
        </w:rPr>
        <w:t xml:space="preserve"> acting as</w:t>
      </w:r>
      <w:r w:rsidR="004F7B41">
        <w:rPr>
          <w:rFonts w:ascii="Bookman Old Style" w:hAnsi="Bookman Old Style"/>
        </w:rPr>
        <w:t xml:space="preserve"> </w:t>
      </w:r>
      <w:r w:rsidR="00285614">
        <w:rPr>
          <w:rFonts w:ascii="Bookman Old Style" w:hAnsi="Bookman Old Style"/>
        </w:rPr>
        <w:t>examiners</w:t>
      </w:r>
      <w:r>
        <w:rPr>
          <w:rFonts w:ascii="Bookman Old Style" w:hAnsi="Bookman Old Style"/>
        </w:rPr>
        <w:t>,</w:t>
      </w:r>
      <w:r w:rsidR="00285614">
        <w:rPr>
          <w:rFonts w:ascii="Bookman Old Style" w:hAnsi="Bookman Old Style"/>
        </w:rPr>
        <w:t xml:space="preserve"> </w:t>
      </w:r>
      <w:r w:rsidR="004F7B41">
        <w:rPr>
          <w:rFonts w:ascii="Bookman Old Style" w:hAnsi="Bookman Old Style"/>
          <w:b/>
          <w:u w:val="single"/>
        </w:rPr>
        <w:t>definitely not</w:t>
      </w:r>
      <w:r w:rsidR="004F7B41">
        <w:rPr>
          <w:rFonts w:ascii="Bookman Old Style" w:hAnsi="Bookman Old Style"/>
        </w:rPr>
        <w:t xml:space="preserve"> the creditors or the shareholders.  </w:t>
      </w:r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 only will the cost of initiating examinership further burden an already ailing Company but, in my professional opinion, this process will </w:t>
      </w:r>
      <w:r w:rsidR="00471BA4">
        <w:rPr>
          <w:rFonts w:ascii="Bookman Old Style" w:hAnsi="Bookman Old Style"/>
        </w:rPr>
        <w:t xml:space="preserve">serve </w:t>
      </w:r>
      <w:r>
        <w:rPr>
          <w:rFonts w:ascii="Bookman Old Style" w:hAnsi="Bookman Old Style"/>
        </w:rPr>
        <w:t xml:space="preserve">as a tool to abuse the </w:t>
      </w:r>
      <w:r w:rsidR="00285614">
        <w:rPr>
          <w:rFonts w:ascii="Bookman Old Style" w:hAnsi="Bookman Old Style"/>
        </w:rPr>
        <w:t>system</w:t>
      </w:r>
      <w:r>
        <w:rPr>
          <w:rFonts w:ascii="Bookman Old Style" w:hAnsi="Bookman Old Style"/>
        </w:rPr>
        <w:t xml:space="preserve">. </w:t>
      </w:r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Once the court is persuaded that there is a reasonable prospect of survival of</w:t>
      </w:r>
      <w:r w:rsidR="00285614">
        <w:rPr>
          <w:rFonts w:ascii="Bookman Old Style" w:hAnsi="Bookman Old Style"/>
        </w:rPr>
        <w:t xml:space="preserve"> a</w:t>
      </w:r>
      <w:r>
        <w:rPr>
          <w:rFonts w:ascii="Bookman Old Style" w:hAnsi="Bookman Old Style"/>
        </w:rPr>
        <w:t xml:space="preserve"> company </w:t>
      </w:r>
      <w:r w:rsidR="00471BA4">
        <w:rPr>
          <w:rFonts w:ascii="Bookman Old Style" w:hAnsi="Bookman Old Style"/>
        </w:rPr>
        <w:t>(</w:t>
      </w:r>
      <w:r w:rsidR="00AA550E">
        <w:rPr>
          <w:rFonts w:ascii="Bookman Old Style" w:hAnsi="Bookman Old Style"/>
        </w:rPr>
        <w:t>which means</w:t>
      </w:r>
      <w:r>
        <w:rPr>
          <w:rFonts w:ascii="Bookman Old Style" w:hAnsi="Bookman Old Style"/>
        </w:rPr>
        <w:t xml:space="preserve"> judges</w:t>
      </w:r>
      <w:r w:rsidR="00AA550E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6330A6">
        <w:rPr>
          <w:rFonts w:ascii="Bookman Old Style" w:hAnsi="Bookman Old Style"/>
        </w:rPr>
        <w:t xml:space="preserve">who </w:t>
      </w:r>
      <w:r>
        <w:rPr>
          <w:rFonts w:ascii="Bookman Old Style" w:hAnsi="Bookman Old Style"/>
        </w:rPr>
        <w:t>will need to rely heavily on the Accountant</w:t>
      </w:r>
      <w:r w:rsidR="006330A6">
        <w:rPr>
          <w:rFonts w:ascii="Bookman Old Style" w:hAnsi="Bookman Old Style"/>
        </w:rPr>
        <w:t>’</w:t>
      </w:r>
      <w:r>
        <w:rPr>
          <w:rFonts w:ascii="Bookman Old Style" w:hAnsi="Bookman Old Style"/>
        </w:rPr>
        <w:t xml:space="preserve">s Report, </w:t>
      </w:r>
      <w:r w:rsidR="00AA550E">
        <w:rPr>
          <w:rFonts w:ascii="Bookman Old Style" w:hAnsi="Bookman Old Style"/>
        </w:rPr>
        <w:t xml:space="preserve">must </w:t>
      </w:r>
      <w:r>
        <w:rPr>
          <w:rFonts w:ascii="Bookman Old Style" w:hAnsi="Bookman Old Style"/>
        </w:rPr>
        <w:t>possess the necessary skills to understand management accounts and feasibility studies</w:t>
      </w:r>
      <w:r w:rsidR="00471BA4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,</w:t>
      </w:r>
      <w:r w:rsidR="006330A6">
        <w:rPr>
          <w:rFonts w:ascii="Bookman Old Style" w:hAnsi="Bookman Old Style"/>
        </w:rPr>
        <w:t xml:space="preserve"> it</w:t>
      </w:r>
      <w:r>
        <w:rPr>
          <w:rFonts w:ascii="Bookman Old Style" w:hAnsi="Bookman Old Style"/>
        </w:rPr>
        <w:t xml:space="preserve"> </w:t>
      </w:r>
      <w:r w:rsidR="00471BA4">
        <w:rPr>
          <w:rFonts w:ascii="Bookman Old Style" w:hAnsi="Bookman Old Style"/>
        </w:rPr>
        <w:t>will grant the Examinership Order</w:t>
      </w:r>
      <w:r>
        <w:rPr>
          <w:rFonts w:ascii="Bookman Old Style" w:hAnsi="Bookman Old Style"/>
        </w:rPr>
        <w:t>, resulting in a moratorium period (initially) for four months, during which the company will enjoy protection from creditor</w:t>
      </w:r>
      <w:r w:rsidR="00EB1F53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, whilst directors continue to administer the affairs of the company, potentially </w:t>
      </w:r>
      <w:r w:rsidR="006330A6">
        <w:rPr>
          <w:rFonts w:ascii="Bookman Old Style" w:hAnsi="Bookman Old Style"/>
        </w:rPr>
        <w:t xml:space="preserve">further </w:t>
      </w:r>
      <w:r>
        <w:rPr>
          <w:rFonts w:ascii="Bookman Old Style" w:hAnsi="Bookman Old Style"/>
        </w:rPr>
        <w:t>dissipating</w:t>
      </w:r>
      <w:r w:rsidR="006330A6">
        <w:rPr>
          <w:rFonts w:ascii="Bookman Old Style" w:hAnsi="Bookman Old Style"/>
        </w:rPr>
        <w:t xml:space="preserve"> company</w:t>
      </w:r>
      <w:r>
        <w:rPr>
          <w:rFonts w:ascii="Bookman Old Style" w:hAnsi="Bookman Old Style"/>
        </w:rPr>
        <w:t xml:space="preserve"> assets. </w:t>
      </w:r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Unfortunately, the safeguards put in place by the </w:t>
      </w:r>
      <w:r w:rsidR="006330A6">
        <w:rPr>
          <w:rFonts w:ascii="Bookman Old Style" w:hAnsi="Bookman Old Style"/>
        </w:rPr>
        <w:t>r</w:t>
      </w:r>
      <w:r>
        <w:rPr>
          <w:rFonts w:ascii="Bookman Old Style" w:hAnsi="Bookman Old Style"/>
        </w:rPr>
        <w:t>egulators, (th</w:t>
      </w:r>
      <w:r w:rsidR="00AA550E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bodies or </w:t>
      </w:r>
      <w:r w:rsidR="00AA550E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uthority that will be </w:t>
      </w:r>
      <w:r w:rsidR="00AA550E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icensing Insolvency Practitioners and monitor</w:t>
      </w:r>
      <w:r w:rsidR="00AA550E">
        <w:rPr>
          <w:rFonts w:ascii="Bookman Old Style" w:hAnsi="Bookman Old Style"/>
        </w:rPr>
        <w:t>ing</w:t>
      </w:r>
      <w:r>
        <w:rPr>
          <w:rFonts w:ascii="Bookman Old Style" w:hAnsi="Bookman Old Style"/>
        </w:rPr>
        <w:t xml:space="preserve"> their conduct) to protect creditors’ interests in countries such as the UK</w:t>
      </w:r>
      <w:r w:rsidR="00F677D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do not exist </w:t>
      </w:r>
      <w:r w:rsidR="00780E35">
        <w:rPr>
          <w:rFonts w:ascii="Bookman Old Style" w:hAnsi="Bookman Old Style"/>
          <w:lang w:val="en-GB"/>
        </w:rPr>
        <w:t>in Cyprus</w:t>
      </w:r>
      <w:r>
        <w:rPr>
          <w:rFonts w:ascii="Bookman Old Style" w:hAnsi="Bookman Old Style"/>
        </w:rPr>
        <w:t xml:space="preserve">. We </w:t>
      </w:r>
      <w:r>
        <w:rPr>
          <w:rFonts w:ascii="Bookman Old Style" w:hAnsi="Bookman Old Style"/>
        </w:rPr>
        <w:lastRenderedPageBreak/>
        <w:t xml:space="preserve">do not have Best Practice </w:t>
      </w:r>
      <w:r w:rsidR="00F677D6">
        <w:rPr>
          <w:rFonts w:ascii="Bookman Old Style" w:hAnsi="Bookman Old Style"/>
        </w:rPr>
        <w:t>Directives and</w:t>
      </w:r>
      <w:r>
        <w:rPr>
          <w:rFonts w:ascii="Bookman Old Style" w:hAnsi="Bookman Old Style"/>
        </w:rPr>
        <w:t>/or Statements of Insolvency Practice (“SIP’s)</w:t>
      </w:r>
      <w:r w:rsidR="00EB1F53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providing guid</w:t>
      </w:r>
      <w:r w:rsidR="00EB1F53">
        <w:rPr>
          <w:rFonts w:ascii="Bookman Old Style" w:hAnsi="Bookman Old Style"/>
        </w:rPr>
        <w:t>ance on the standards to which I</w:t>
      </w:r>
      <w:r>
        <w:rPr>
          <w:rFonts w:ascii="Bookman Old Style" w:hAnsi="Bookman Old Style"/>
        </w:rPr>
        <w:t>nsolvenc</w:t>
      </w:r>
      <w:r w:rsidR="00EB1F53">
        <w:rPr>
          <w:rFonts w:ascii="Bookman Old Style" w:hAnsi="Bookman Old Style"/>
        </w:rPr>
        <w:t>y P</w:t>
      </w:r>
      <w:r w:rsidR="00471BA4">
        <w:rPr>
          <w:rFonts w:ascii="Bookman Old Style" w:hAnsi="Bookman Old Style"/>
        </w:rPr>
        <w:t>ractitioners must adhere</w:t>
      </w:r>
      <w:r w:rsidR="00AA550E">
        <w:rPr>
          <w:rFonts w:ascii="Bookman Old Style" w:hAnsi="Bookman Old Style"/>
        </w:rPr>
        <w:t>,</w:t>
      </w:r>
      <w:r w:rsidR="00471BA4">
        <w:rPr>
          <w:rFonts w:ascii="Bookman Old Style" w:hAnsi="Bookman Old Style"/>
        </w:rPr>
        <w:t xml:space="preserve"> to</w:t>
      </w:r>
      <w:r w:rsidR="00AA550E">
        <w:rPr>
          <w:rFonts w:ascii="Bookman Old Style" w:hAnsi="Bookman Old Style"/>
        </w:rPr>
        <w:t xml:space="preserve"> avoid</w:t>
      </w:r>
      <w:r w:rsidR="00326AAA">
        <w:rPr>
          <w:rFonts w:ascii="Bookman Old Style" w:hAnsi="Bookman Old Style"/>
        </w:rPr>
        <w:t xml:space="preserve"> disciplinary action which may result in loss of authori</w:t>
      </w:r>
      <w:r w:rsidR="00E5502E">
        <w:rPr>
          <w:rFonts w:ascii="Bookman Old Style" w:hAnsi="Bookman Old Style"/>
        </w:rPr>
        <w:t>s</w:t>
      </w:r>
      <w:r w:rsidR="00326AAA">
        <w:rPr>
          <w:rFonts w:ascii="Bookman Old Style" w:hAnsi="Bookman Old Style"/>
        </w:rPr>
        <w:t xml:space="preserve">ation, to </w:t>
      </w:r>
      <w:r w:rsidR="00073A6E">
        <w:rPr>
          <w:rFonts w:ascii="Bookman Old Style" w:hAnsi="Bookman Old Style"/>
        </w:rPr>
        <w:t>deter those I</w:t>
      </w:r>
      <w:r w:rsidR="005712BD">
        <w:rPr>
          <w:rFonts w:ascii="Bookman Old Style" w:hAnsi="Bookman Old Style"/>
        </w:rPr>
        <w:t>nsolvency Practitioners</w:t>
      </w:r>
      <w:r w:rsidR="00073A6E">
        <w:rPr>
          <w:rFonts w:ascii="Bookman Old Style" w:hAnsi="Bookman Old Style"/>
        </w:rPr>
        <w:t xml:space="preserve"> influenced by </w:t>
      </w:r>
      <w:r w:rsidR="00326AAA">
        <w:rPr>
          <w:rFonts w:ascii="Bookman Old Style" w:hAnsi="Bookman Old Style"/>
        </w:rPr>
        <w:t xml:space="preserve">a </w:t>
      </w:r>
      <w:r w:rsidR="00073A6E">
        <w:rPr>
          <w:rFonts w:ascii="Bookman Old Style" w:hAnsi="Bookman Old Style"/>
        </w:rPr>
        <w:t xml:space="preserve">desire to gain personally over their professional obligations, compelling them to think twice before </w:t>
      </w:r>
      <w:r w:rsidR="00326AAA">
        <w:rPr>
          <w:rFonts w:ascii="Bookman Old Style" w:hAnsi="Bookman Old Style"/>
        </w:rPr>
        <w:t xml:space="preserve">they consent to act and </w:t>
      </w:r>
      <w:r w:rsidR="00073A6E">
        <w:rPr>
          <w:rFonts w:ascii="Bookman Old Style" w:hAnsi="Bookman Old Style"/>
        </w:rPr>
        <w:t xml:space="preserve">put forward </w:t>
      </w:r>
      <w:r>
        <w:rPr>
          <w:rFonts w:ascii="Bookman Old Style" w:hAnsi="Bookman Old Style"/>
        </w:rPr>
        <w:t xml:space="preserve">applications </w:t>
      </w:r>
      <w:r w:rsidR="00073A6E">
        <w:rPr>
          <w:rFonts w:ascii="Bookman Old Style" w:hAnsi="Bookman Old Style"/>
        </w:rPr>
        <w:t>which knowingly misrepresent the financial position of a company</w:t>
      </w:r>
      <w:r w:rsidR="00471BA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</w:t>
      </w:r>
    </w:p>
    <w:p w:rsidR="004F7B41" w:rsidRDefault="00326AAA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Furthermore, i</w:t>
      </w:r>
      <w:r w:rsidR="004F7B41">
        <w:rPr>
          <w:rFonts w:ascii="Bookman Old Style" w:hAnsi="Bookman Old Style"/>
        </w:rPr>
        <w:t xml:space="preserve">t is likely </w:t>
      </w:r>
      <w:r w:rsidR="00471BA4">
        <w:rPr>
          <w:rFonts w:ascii="Bookman Old Style" w:hAnsi="Bookman Old Style"/>
        </w:rPr>
        <w:t xml:space="preserve">that </w:t>
      </w:r>
      <w:r w:rsidR="004F7B41">
        <w:rPr>
          <w:rFonts w:ascii="Bookman Old Style" w:hAnsi="Bookman Old Style"/>
        </w:rPr>
        <w:t xml:space="preserve">examiners will claim that the four month period they will </w:t>
      </w:r>
      <w:r w:rsidR="00471BA4">
        <w:rPr>
          <w:rFonts w:ascii="Bookman Old Style" w:hAnsi="Bookman Old Style"/>
        </w:rPr>
        <w:t>have within which to prepare a Proposal and obtain Creditor A</w:t>
      </w:r>
      <w:r w:rsidR="004F7B41">
        <w:rPr>
          <w:rFonts w:ascii="Bookman Old Style" w:hAnsi="Bookman Old Style"/>
        </w:rPr>
        <w:t>pproval</w:t>
      </w:r>
      <w:r w:rsidR="00471BA4">
        <w:rPr>
          <w:rFonts w:ascii="Bookman Old Style" w:hAnsi="Bookman Old Style"/>
        </w:rPr>
        <w:t>,</w:t>
      </w:r>
      <w:r w:rsidR="004F7B41">
        <w:rPr>
          <w:rFonts w:ascii="Bookman Old Style" w:hAnsi="Bookman Old Style"/>
        </w:rPr>
        <w:t xml:space="preserve"> will not be sufficient time and applications will be made to court requesting extensions (in Ireland this period has been reduced to 70 days extendable up to a maximum of 100 days). </w:t>
      </w:r>
    </w:p>
    <w:p w:rsidR="004F7B41" w:rsidRDefault="000770EF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Consequently, </w:t>
      </w:r>
      <w:r w:rsidR="004F7B41">
        <w:rPr>
          <w:rFonts w:ascii="Bookman Old Style" w:hAnsi="Bookman Old Style"/>
        </w:rPr>
        <w:t>when examinership fail</w:t>
      </w:r>
      <w:r w:rsidR="00073A6E">
        <w:rPr>
          <w:rFonts w:ascii="Bookman Old Style" w:hAnsi="Bookman Old Style"/>
        </w:rPr>
        <w:t>s</w:t>
      </w:r>
      <w:r w:rsidR="004F7B41">
        <w:rPr>
          <w:rFonts w:ascii="Bookman Old Style" w:hAnsi="Bookman Old Style"/>
        </w:rPr>
        <w:t xml:space="preserve">, assets will </w:t>
      </w:r>
      <w:r w:rsidR="00326AAA">
        <w:rPr>
          <w:rFonts w:ascii="Bookman Old Style" w:hAnsi="Bookman Old Style"/>
        </w:rPr>
        <w:t xml:space="preserve">be </w:t>
      </w:r>
      <w:r w:rsidR="00073A6E">
        <w:rPr>
          <w:rFonts w:ascii="Bookman Old Style" w:hAnsi="Bookman Old Style"/>
        </w:rPr>
        <w:t>depleted</w:t>
      </w:r>
      <w:r>
        <w:rPr>
          <w:rFonts w:ascii="Bookman Old Style" w:hAnsi="Bookman Old Style"/>
        </w:rPr>
        <w:t xml:space="preserve"> by soaring professional</w:t>
      </w:r>
      <w:r w:rsidR="004F7B41">
        <w:rPr>
          <w:rFonts w:ascii="Bookman Old Style" w:hAnsi="Bookman Old Style"/>
        </w:rPr>
        <w:t xml:space="preserve"> fees </w:t>
      </w:r>
      <w:r>
        <w:rPr>
          <w:rFonts w:ascii="Bookman Old Style" w:hAnsi="Bookman Old Style"/>
        </w:rPr>
        <w:t>which will no doubt soak-</w:t>
      </w:r>
      <w:r w:rsidR="004F7B41">
        <w:rPr>
          <w:rFonts w:ascii="Bookman Old Style" w:hAnsi="Bookman Old Style"/>
        </w:rPr>
        <w:t>up funds which may otherwise have been used to pay creditors</w:t>
      </w:r>
      <w:r>
        <w:rPr>
          <w:rFonts w:ascii="Bookman Old Style" w:hAnsi="Bookman Old Style"/>
        </w:rPr>
        <w:t xml:space="preserve">, </w:t>
      </w:r>
      <w:r w:rsidR="004F7B41">
        <w:rPr>
          <w:rFonts w:ascii="Bookman Old Style" w:hAnsi="Bookman Old Style"/>
        </w:rPr>
        <w:t>with detrimental implications for secured and preferential creditors.</w:t>
      </w:r>
      <w:r w:rsidR="00667C41">
        <w:rPr>
          <w:rFonts w:ascii="Bookman Old Style" w:hAnsi="Bookman Old Style"/>
        </w:rPr>
        <w:t xml:space="preserve"> </w:t>
      </w:r>
      <w:r w:rsidR="00326AAA">
        <w:rPr>
          <w:rFonts w:ascii="Bookman Old Style" w:hAnsi="Bookman Old Style"/>
        </w:rPr>
        <w:t>An alternative option</w:t>
      </w:r>
      <w:r w:rsidR="00E5502E">
        <w:rPr>
          <w:rFonts w:ascii="Bookman Old Style" w:hAnsi="Bookman Old Style"/>
        </w:rPr>
        <w:t>,</w:t>
      </w:r>
      <w:r w:rsidR="00326AAA">
        <w:rPr>
          <w:rFonts w:ascii="Bookman Old Style" w:hAnsi="Bookman Old Style"/>
        </w:rPr>
        <w:t xml:space="preserve"> which </w:t>
      </w:r>
      <w:r w:rsidR="00326AAA" w:rsidRPr="001378D7">
        <w:rPr>
          <w:rFonts w:ascii="Bookman Old Style" w:hAnsi="Bookman Old Style"/>
        </w:rPr>
        <w:t xml:space="preserve">the </w:t>
      </w:r>
      <w:r w:rsidR="00471BA4" w:rsidRPr="005712BD">
        <w:rPr>
          <w:rFonts w:ascii="Bookman Old Style" w:hAnsi="Bookman Old Style"/>
        </w:rPr>
        <w:t>team of experts</w:t>
      </w:r>
      <w:r w:rsidR="00096D4B" w:rsidRPr="00096D4B">
        <w:rPr>
          <w:rFonts w:ascii="Bookman Old Style" w:hAnsi="Bookman Old Style"/>
        </w:rPr>
        <w:t xml:space="preserve"> could have</w:t>
      </w:r>
      <w:r w:rsidR="00471BA4" w:rsidRPr="00682791">
        <w:rPr>
          <w:rFonts w:ascii="Bookman Old Style" w:hAnsi="Bookman Old Style"/>
        </w:rPr>
        <w:t xml:space="preserve"> suggest</w:t>
      </w:r>
      <w:r w:rsidR="00096D4B" w:rsidRPr="00096D4B">
        <w:rPr>
          <w:rFonts w:ascii="Bookman Old Style" w:hAnsi="Bookman Old Style"/>
        </w:rPr>
        <w:t>ed</w:t>
      </w:r>
      <w:r w:rsidR="00E5502E">
        <w:rPr>
          <w:rFonts w:ascii="Bookman Old Style" w:hAnsi="Bookman Old Style"/>
        </w:rPr>
        <w:t>,</w:t>
      </w:r>
      <w:r w:rsidR="00471BA4" w:rsidRPr="001378D7">
        <w:rPr>
          <w:rFonts w:ascii="Bookman Old Style" w:hAnsi="Bookman Old Style"/>
        </w:rPr>
        <w:t xml:space="preserve"> </w:t>
      </w:r>
      <w:r w:rsidR="00096D4B" w:rsidRPr="00096D4B">
        <w:rPr>
          <w:rFonts w:ascii="Bookman Old Style" w:hAnsi="Bookman Old Style"/>
        </w:rPr>
        <w:t xml:space="preserve">is </w:t>
      </w:r>
      <w:r w:rsidR="00471BA4" w:rsidRPr="001378D7">
        <w:rPr>
          <w:rFonts w:ascii="Bookman Old Style" w:hAnsi="Bookman Old Style"/>
        </w:rPr>
        <w:t xml:space="preserve">a simple application to the </w:t>
      </w:r>
      <w:r w:rsidR="00E5502E">
        <w:rPr>
          <w:rFonts w:ascii="Bookman Old Style" w:hAnsi="Bookman Old Style"/>
        </w:rPr>
        <w:t>C</w:t>
      </w:r>
      <w:r w:rsidR="00471BA4" w:rsidRPr="001378D7">
        <w:rPr>
          <w:rFonts w:ascii="Bookman Old Style" w:hAnsi="Bookman Old Style"/>
        </w:rPr>
        <w:t xml:space="preserve">ourt for an interim order, thus affording </w:t>
      </w:r>
      <w:r w:rsidR="00096D4B">
        <w:rPr>
          <w:rFonts w:ascii="Bookman Old Style" w:hAnsi="Bookman Old Style"/>
        </w:rPr>
        <w:t>protection from hostile creditors, whilst a C</w:t>
      </w:r>
      <w:r w:rsidR="00E5502E">
        <w:rPr>
          <w:rFonts w:ascii="Bookman Old Style" w:hAnsi="Bookman Old Style"/>
        </w:rPr>
        <w:t>ompany Voluntary Arrangement</w:t>
      </w:r>
      <w:r w:rsidR="00B604EE">
        <w:rPr>
          <w:rFonts w:ascii="Bookman Old Style" w:hAnsi="Bookman Old Style"/>
        </w:rPr>
        <w:t xml:space="preserve"> </w:t>
      </w:r>
      <w:r w:rsidR="00096D4B" w:rsidRPr="00096D4B">
        <w:rPr>
          <w:rFonts w:ascii="Bookman Old Style" w:hAnsi="Bookman Old Style"/>
        </w:rPr>
        <w:t>(which is already provided for in existing legislation</w:t>
      </w:r>
      <w:r w:rsidR="00B604EE">
        <w:rPr>
          <w:rFonts w:ascii="Bookman Old Style" w:hAnsi="Bookman Old Style"/>
        </w:rPr>
        <w:t>, s198 of CAP</w:t>
      </w:r>
      <w:r w:rsidR="00B604EE">
        <w:rPr>
          <w:rFonts w:ascii="Bookman Old Style" w:hAnsi="Bookman Old Style"/>
          <w:lang w:val="en-GB"/>
        </w:rPr>
        <w:t>: 113</w:t>
      </w:r>
      <w:r w:rsidR="00096D4B" w:rsidRPr="00096D4B">
        <w:rPr>
          <w:rFonts w:ascii="Bookman Old Style" w:hAnsi="Bookman Old Style"/>
        </w:rPr>
        <w:t>)</w:t>
      </w:r>
      <w:r w:rsidR="00667C41" w:rsidRPr="001378D7">
        <w:rPr>
          <w:rFonts w:ascii="Bookman Old Style" w:hAnsi="Bookman Old Style"/>
        </w:rPr>
        <w:t>, could be put in place.</w:t>
      </w:r>
      <w:r w:rsidR="00667C41">
        <w:rPr>
          <w:rFonts w:ascii="Bookman Old Style" w:hAnsi="Bookman Old Style"/>
        </w:rPr>
        <w:t xml:space="preserve"> </w:t>
      </w:r>
    </w:p>
    <w:p w:rsidR="004F7B41" w:rsidRDefault="004F7B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Ireland, only 2% of </w:t>
      </w:r>
      <w:r w:rsidR="00522D70">
        <w:rPr>
          <w:rFonts w:ascii="Bookman Old Style" w:hAnsi="Bookman Old Style"/>
        </w:rPr>
        <w:t xml:space="preserve">insolvent companies enter </w:t>
      </w:r>
      <w:r>
        <w:rPr>
          <w:rFonts w:ascii="Bookman Old Style" w:hAnsi="Bookman Old Style"/>
        </w:rPr>
        <w:t>examinership</w:t>
      </w:r>
      <w:r w:rsidR="00522D70" w:rsidRPr="00522D70">
        <w:rPr>
          <w:rFonts w:ascii="Bookman Old Style" w:hAnsi="Bookman Old Style"/>
          <w:lang w:val="en-GB"/>
        </w:rPr>
        <w:t xml:space="preserve"> (</w:t>
      </w:r>
      <w:r w:rsidR="00522D70">
        <w:rPr>
          <w:rFonts w:ascii="Bookman Old Style" w:hAnsi="Bookman Old Style"/>
          <w:lang w:val="en-GB"/>
        </w:rPr>
        <w:t>16 cases in both 2010 and 2011 and 27 in 2012)</w:t>
      </w:r>
      <w:r>
        <w:rPr>
          <w:rFonts w:ascii="Bookman Old Style" w:hAnsi="Bookman Old Style"/>
        </w:rPr>
        <w:t xml:space="preserve"> </w:t>
      </w:r>
      <w:r w:rsidR="00667C41">
        <w:rPr>
          <w:rFonts w:ascii="Bookman Old Style" w:hAnsi="Bookman Old Style"/>
        </w:rPr>
        <w:t>because th</w:t>
      </w:r>
      <w:r w:rsidR="00326AAA">
        <w:rPr>
          <w:rFonts w:ascii="Bookman Old Style" w:hAnsi="Bookman Old Style"/>
        </w:rPr>
        <w:t>is</w:t>
      </w:r>
      <w:r w:rsidR="00667C41">
        <w:rPr>
          <w:rFonts w:ascii="Bookman Old Style" w:hAnsi="Bookman Old Style"/>
        </w:rPr>
        <w:t xml:space="preserve"> process places very stringent professional obligations on Insolvency Practitioners to vet </w:t>
      </w:r>
      <w:r w:rsidR="00326AAA">
        <w:rPr>
          <w:rFonts w:ascii="Bookman Old Style" w:hAnsi="Bookman Old Style"/>
        </w:rPr>
        <w:t xml:space="preserve">each case </w:t>
      </w:r>
      <w:r w:rsidR="00667C41">
        <w:rPr>
          <w:rFonts w:ascii="Bookman Old Style" w:hAnsi="Bookman Old Style"/>
        </w:rPr>
        <w:t>carefully. If they do not, they will face the consequences</w:t>
      </w:r>
      <w:r w:rsidR="00326AAA">
        <w:rPr>
          <w:rFonts w:ascii="Bookman Old Style" w:hAnsi="Bookman Old Style"/>
        </w:rPr>
        <w:t>.</w:t>
      </w:r>
      <w:r w:rsidR="00667C4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</w:t>
      </w:r>
    </w:p>
    <w:p w:rsidR="00326AAA" w:rsidRDefault="00667C41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There is no doubt in my mind</w:t>
      </w:r>
      <w:r w:rsidR="004F7B41">
        <w:rPr>
          <w:rFonts w:ascii="Bookman Old Style" w:hAnsi="Bookman Old Style"/>
        </w:rPr>
        <w:t>, where a floating charge holder decides to enforce its right to appoint a Receiver Manager (RM), wi</w:t>
      </w:r>
      <w:r>
        <w:rPr>
          <w:rFonts w:ascii="Bookman Old Style" w:hAnsi="Bookman Old Style"/>
        </w:rPr>
        <w:t>thin a month of the appointment</w:t>
      </w:r>
      <w:r w:rsidR="004F7B41">
        <w:rPr>
          <w:rFonts w:ascii="Bookman Old Style" w:hAnsi="Bookman Old Style"/>
        </w:rPr>
        <w:t>, the directors</w:t>
      </w:r>
      <w:r>
        <w:rPr>
          <w:rFonts w:ascii="Bookman Old Style" w:hAnsi="Bookman Old Style"/>
        </w:rPr>
        <w:t>, guided by their advisors,</w:t>
      </w:r>
      <w:r w:rsidR="004F7B41">
        <w:rPr>
          <w:rFonts w:ascii="Bookman Old Style" w:hAnsi="Bookman Old Style"/>
        </w:rPr>
        <w:t xml:space="preserve"> will be apply</w:t>
      </w:r>
      <w:r>
        <w:rPr>
          <w:rFonts w:ascii="Bookman Old Style" w:hAnsi="Bookman Old Style"/>
        </w:rPr>
        <w:t xml:space="preserve">ing </w:t>
      </w:r>
      <w:r w:rsidR="004F7B41">
        <w:rPr>
          <w:rFonts w:ascii="Bookman Old Style" w:hAnsi="Bookman Old Style"/>
        </w:rPr>
        <w:t xml:space="preserve">to the court for </w:t>
      </w:r>
      <w:r>
        <w:rPr>
          <w:rFonts w:ascii="Bookman Old Style" w:hAnsi="Bookman Old Style"/>
        </w:rPr>
        <w:t>an Examinership Order thus</w:t>
      </w:r>
      <w:r w:rsidR="005942D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frustrating the RM</w:t>
      </w:r>
      <w:r w:rsidR="000770EF">
        <w:rPr>
          <w:rFonts w:ascii="Bookman Old Style" w:hAnsi="Bookman Old Style"/>
        </w:rPr>
        <w:t>’s</w:t>
      </w:r>
      <w:r>
        <w:rPr>
          <w:rFonts w:ascii="Bookman Old Style" w:hAnsi="Bookman Old Style"/>
        </w:rPr>
        <w:t xml:space="preserve"> right to take control of the assets.</w:t>
      </w:r>
    </w:p>
    <w:p w:rsidR="004F7B41" w:rsidRDefault="00326AAA" w:rsidP="004F7B4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Ultimately d</w:t>
      </w:r>
      <w:r w:rsidR="004F7B41">
        <w:rPr>
          <w:rFonts w:ascii="Bookman Old Style" w:hAnsi="Bookman Old Style"/>
        </w:rPr>
        <w:t xml:space="preserve">irectors of heavily insolvent companies will use </w:t>
      </w:r>
      <w:r w:rsidR="000770EF">
        <w:rPr>
          <w:rFonts w:ascii="Bookman Old Style" w:hAnsi="Bookman Old Style"/>
        </w:rPr>
        <w:t xml:space="preserve">the </w:t>
      </w:r>
      <w:r w:rsidR="004F7B41">
        <w:rPr>
          <w:rFonts w:ascii="Bookman Old Style" w:hAnsi="Bookman Old Style"/>
        </w:rPr>
        <w:t>examinership</w:t>
      </w:r>
      <w:r w:rsidR="002A707E">
        <w:rPr>
          <w:rFonts w:ascii="Bookman Old Style" w:hAnsi="Bookman Old Style"/>
        </w:rPr>
        <w:t xml:space="preserve"> process</w:t>
      </w:r>
      <w:r w:rsidR="004F7B41">
        <w:rPr>
          <w:rFonts w:ascii="Bookman Old Style" w:hAnsi="Bookman Old Style"/>
        </w:rPr>
        <w:t xml:space="preserve"> </w:t>
      </w:r>
      <w:r w:rsidR="004F7B41" w:rsidRPr="00E5502E">
        <w:rPr>
          <w:rFonts w:ascii="Bookman Old Style" w:hAnsi="Bookman Old Style"/>
        </w:rPr>
        <w:t>as a way</w:t>
      </w:r>
      <w:r w:rsidR="002A707E" w:rsidRPr="00E5502E">
        <w:rPr>
          <w:rFonts w:ascii="Bookman Old Style" w:hAnsi="Bookman Old Style"/>
        </w:rPr>
        <w:t xml:space="preserve"> to</w:t>
      </w:r>
      <w:r w:rsidR="004F7B41" w:rsidRPr="00E5502E">
        <w:rPr>
          <w:rFonts w:ascii="Bookman Old Style" w:hAnsi="Bookman Old Style"/>
        </w:rPr>
        <w:t xml:space="preserve"> “</w:t>
      </w:r>
      <w:r w:rsidR="005942D1" w:rsidRPr="00E5502E">
        <w:rPr>
          <w:rFonts w:ascii="Bookman Old Style" w:hAnsi="Bookman Old Style"/>
        </w:rPr>
        <w:t>put their companies on life support</w:t>
      </w:r>
      <w:r w:rsidR="004F7B41" w:rsidRPr="00E5502E">
        <w:rPr>
          <w:rFonts w:ascii="Bookman Old Style" w:hAnsi="Bookman Old Style"/>
        </w:rPr>
        <w:t xml:space="preserve">” despite </w:t>
      </w:r>
      <w:r w:rsidR="00E5502E" w:rsidRPr="00E5502E">
        <w:rPr>
          <w:rFonts w:ascii="Bookman Old Style" w:hAnsi="Bookman Old Style"/>
        </w:rPr>
        <w:t xml:space="preserve">a lack of any </w:t>
      </w:r>
      <w:r w:rsidR="004F7B41" w:rsidRPr="00E5502E">
        <w:rPr>
          <w:rFonts w:ascii="Bookman Old Style" w:hAnsi="Bookman Old Style"/>
        </w:rPr>
        <w:t xml:space="preserve"> </w:t>
      </w:r>
      <w:r w:rsidR="005942D1" w:rsidRPr="00E5502E">
        <w:rPr>
          <w:rFonts w:ascii="Bookman Old Style" w:hAnsi="Bookman Old Style"/>
        </w:rPr>
        <w:t xml:space="preserve"> </w:t>
      </w:r>
      <w:r w:rsidR="00E5502E" w:rsidRPr="00E5502E">
        <w:rPr>
          <w:rFonts w:ascii="Bookman Old Style" w:hAnsi="Bookman Old Style"/>
        </w:rPr>
        <w:t>prospect</w:t>
      </w:r>
      <w:r w:rsidR="002A707E">
        <w:rPr>
          <w:rFonts w:ascii="Bookman Old Style" w:hAnsi="Bookman Old Style"/>
        </w:rPr>
        <w:t xml:space="preserve"> of survival</w:t>
      </w:r>
      <w:r w:rsidR="004F7B41">
        <w:rPr>
          <w:rFonts w:ascii="Bookman Old Style" w:hAnsi="Bookman Old Style"/>
        </w:rPr>
        <w:t xml:space="preserve">; </w:t>
      </w:r>
      <w:r w:rsidR="005942D1">
        <w:rPr>
          <w:rFonts w:ascii="Bookman Old Style" w:hAnsi="Bookman Old Style"/>
        </w:rPr>
        <w:t>without safe</w:t>
      </w:r>
      <w:r w:rsidR="002A707E">
        <w:rPr>
          <w:rFonts w:ascii="Bookman Old Style" w:hAnsi="Bookman Old Style"/>
        </w:rPr>
        <w:t xml:space="preserve">-guards in place </w:t>
      </w:r>
      <w:r w:rsidR="004F7B41">
        <w:rPr>
          <w:rFonts w:ascii="Bookman Old Style" w:hAnsi="Bookman Old Style"/>
        </w:rPr>
        <w:t xml:space="preserve">to </w:t>
      </w:r>
      <w:r w:rsidR="002A707E">
        <w:rPr>
          <w:rFonts w:ascii="Bookman Old Style" w:hAnsi="Bookman Old Style"/>
        </w:rPr>
        <w:t xml:space="preserve">avert </w:t>
      </w:r>
      <w:r w:rsidR="004F7B41">
        <w:rPr>
          <w:rFonts w:ascii="Bookman Old Style" w:hAnsi="Bookman Old Style"/>
        </w:rPr>
        <w:t>abuse</w:t>
      </w:r>
      <w:r>
        <w:rPr>
          <w:rFonts w:ascii="Bookman Old Style" w:hAnsi="Bookman Old Style"/>
        </w:rPr>
        <w:t xml:space="preserve"> of this process</w:t>
      </w:r>
      <w:r w:rsidR="005942D1">
        <w:rPr>
          <w:rFonts w:ascii="Bookman Old Style" w:hAnsi="Bookman Old Style"/>
        </w:rPr>
        <w:t xml:space="preserve"> </w:t>
      </w:r>
      <w:r w:rsidR="002A707E">
        <w:rPr>
          <w:rFonts w:ascii="Bookman Old Style" w:hAnsi="Bookman Old Style"/>
        </w:rPr>
        <w:t>the</w:t>
      </w:r>
      <w:r w:rsidR="004F7B41">
        <w:rPr>
          <w:rFonts w:ascii="Bookman Old Style" w:hAnsi="Bookman Old Style"/>
        </w:rPr>
        <w:t xml:space="preserve"> risks </w:t>
      </w:r>
      <w:r w:rsidR="002A707E">
        <w:rPr>
          <w:rFonts w:ascii="Bookman Old Style" w:hAnsi="Bookman Old Style"/>
        </w:rPr>
        <w:t xml:space="preserve">of </w:t>
      </w:r>
      <w:r w:rsidR="004F7B41">
        <w:rPr>
          <w:rFonts w:ascii="Bookman Old Style" w:hAnsi="Bookman Old Style"/>
        </w:rPr>
        <w:t xml:space="preserve">further loss to creditors are </w:t>
      </w:r>
      <w:r>
        <w:rPr>
          <w:rFonts w:ascii="Bookman Old Style" w:hAnsi="Bookman Old Style"/>
        </w:rPr>
        <w:t>clear</w:t>
      </w:r>
      <w:r w:rsidR="002A707E">
        <w:rPr>
          <w:rFonts w:ascii="Bookman Old Style" w:hAnsi="Bookman Old Style"/>
        </w:rPr>
        <w:t xml:space="preserve"> and unavoidable</w:t>
      </w:r>
      <w:r w:rsidR="00522D70">
        <w:rPr>
          <w:rFonts w:ascii="Bookman Old Style" w:hAnsi="Bookman Old Style"/>
        </w:rPr>
        <w:t>.</w:t>
      </w:r>
    </w:p>
    <w:p w:rsidR="00EB1F53" w:rsidRPr="009816D0" w:rsidRDefault="009816D0" w:rsidP="009816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---------------------------------------------------------------------------------------------------------------------------------------</w:t>
      </w:r>
    </w:p>
    <w:p w:rsidR="00EB1F53" w:rsidRPr="009816D0" w:rsidRDefault="00EB1F53" w:rsidP="009816D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i/>
          <w:color w:val="000000"/>
          <w:sz w:val="20"/>
          <w:szCs w:val="20"/>
          <w:lang w:val="en-GB"/>
        </w:rPr>
      </w:pPr>
      <w:r w:rsidRPr="009816D0">
        <w:rPr>
          <w:rFonts w:asciiTheme="majorHAnsi" w:hAnsiTheme="majorHAnsi"/>
          <w:i/>
          <w:sz w:val="20"/>
          <w:szCs w:val="20"/>
          <w:lang w:val="en-GB"/>
        </w:rPr>
        <w:t xml:space="preserve">Andri Antoniou is a solicitor of the </w:t>
      </w:r>
      <w:r w:rsidR="003276A0">
        <w:rPr>
          <w:rFonts w:asciiTheme="majorHAnsi" w:hAnsiTheme="majorHAnsi"/>
          <w:i/>
          <w:sz w:val="20"/>
          <w:szCs w:val="20"/>
          <w:lang w:val="en-GB"/>
        </w:rPr>
        <w:t xml:space="preserve">Senior </w:t>
      </w:r>
      <w:r w:rsidRPr="009816D0">
        <w:rPr>
          <w:rFonts w:asciiTheme="majorHAnsi" w:hAnsiTheme="majorHAnsi"/>
          <w:i/>
          <w:sz w:val="20"/>
          <w:szCs w:val="20"/>
          <w:lang w:val="en-GB"/>
        </w:rPr>
        <w:t>Court</w:t>
      </w:r>
      <w:r w:rsidR="003276A0">
        <w:rPr>
          <w:rFonts w:asciiTheme="majorHAnsi" w:hAnsiTheme="majorHAnsi"/>
          <w:i/>
          <w:sz w:val="20"/>
          <w:szCs w:val="20"/>
          <w:lang w:val="en-GB"/>
        </w:rPr>
        <w:t>s of England and Wale</w:t>
      </w:r>
      <w:r w:rsidR="003F7BD8">
        <w:rPr>
          <w:rFonts w:asciiTheme="majorHAnsi" w:hAnsiTheme="majorHAnsi"/>
          <w:i/>
          <w:sz w:val="20"/>
          <w:szCs w:val="20"/>
          <w:lang w:val="en-GB"/>
        </w:rPr>
        <w:t>s and a qualified Examiner formerly employed by the UK Insolvency Service</w:t>
      </w:r>
      <w:r w:rsidR="009816D0" w:rsidRPr="009816D0">
        <w:rPr>
          <w:rFonts w:asciiTheme="majorHAnsi" w:hAnsiTheme="majorHAnsi"/>
          <w:i/>
          <w:sz w:val="20"/>
          <w:szCs w:val="20"/>
          <w:lang w:val="en-GB"/>
        </w:rPr>
        <w:t xml:space="preserve">, </w:t>
      </w:r>
      <w:r w:rsidR="009816D0">
        <w:rPr>
          <w:rFonts w:asciiTheme="majorHAnsi" w:hAnsiTheme="majorHAnsi"/>
          <w:i/>
          <w:sz w:val="20"/>
          <w:szCs w:val="20"/>
          <w:lang w:val="en-GB"/>
        </w:rPr>
        <w:t>in Cyprus she is a M</w:t>
      </w:r>
      <w:r w:rsidR="009816D0" w:rsidRPr="009816D0">
        <w:rPr>
          <w:rFonts w:asciiTheme="majorHAnsi" w:hAnsiTheme="majorHAnsi"/>
          <w:i/>
          <w:sz w:val="20"/>
          <w:szCs w:val="20"/>
          <w:lang w:val="en-GB"/>
        </w:rPr>
        <w:t xml:space="preserve">anager at </w:t>
      </w:r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</w:rPr>
        <w:t>CRI</w:t>
      </w:r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 xml:space="preserve"> </w:t>
      </w:r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</w:rPr>
        <w:t>Group</w:t>
      </w:r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 xml:space="preserve"> </w:t>
      </w:r>
      <w:hyperlink r:id="rId8" w:history="1"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</w:rPr>
          <w:t>www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  <w:lang w:val="en-GB"/>
          </w:rPr>
          <w:t>.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</w:rPr>
          <w:t>crigroup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  <w:lang w:val="en-GB"/>
          </w:rPr>
          <w:t>.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</w:rPr>
          <w:t>com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  <w:lang w:val="en-GB"/>
          </w:rPr>
          <w:t>.</w:t>
        </w:r>
        <w:r w:rsidRPr="009816D0">
          <w:rPr>
            <w:rFonts w:asciiTheme="majorHAnsi" w:eastAsia="Calibri" w:hAnsiTheme="majorHAnsi" w:cs="Times New Roman"/>
            <w:i/>
            <w:color w:val="0000FF"/>
            <w:sz w:val="20"/>
            <w:szCs w:val="20"/>
            <w:u w:val="single"/>
          </w:rPr>
          <w:t>cy</w:t>
        </w:r>
      </w:hyperlink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 xml:space="preserve"> </w:t>
      </w:r>
      <w:r w:rsidR="009816D0"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>a  firm speciali</w:t>
      </w:r>
      <w:r w:rsidR="003276A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>s</w:t>
      </w:r>
      <w:r w:rsidR="009816D0"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>ing in all aspects of Corporate Recovery Reconstruction and Renewal</w:t>
      </w:r>
      <w:r w:rsidRPr="009816D0">
        <w:rPr>
          <w:rFonts w:asciiTheme="majorHAnsi" w:eastAsia="Calibri" w:hAnsiTheme="majorHAnsi" w:cs="Times New Roman"/>
          <w:i/>
          <w:color w:val="404040"/>
          <w:sz w:val="20"/>
          <w:szCs w:val="20"/>
          <w:lang w:val="en-GB"/>
        </w:rPr>
        <w:t>.</w:t>
      </w:r>
    </w:p>
    <w:p w:rsidR="00EB1F53" w:rsidRPr="009816D0" w:rsidRDefault="009816D0" w:rsidP="00EB1F53">
      <w:pPr>
        <w:pStyle w:val="EndnoteText"/>
        <w:rPr>
          <w:i/>
          <w:lang w:val="en-GB"/>
        </w:rPr>
      </w:pPr>
      <w:r>
        <w:rPr>
          <w:i/>
          <w:lang w:val="en-GB"/>
        </w:rPr>
        <w:t>---------------------------------------------------------------------------------------------------------------------------------------------------</w:t>
      </w:r>
    </w:p>
    <w:p w:rsidR="00EB1F53" w:rsidRPr="009816D0" w:rsidRDefault="00EB1F53" w:rsidP="00EB1F53">
      <w:pPr>
        <w:pStyle w:val="EndnoteText"/>
        <w:rPr>
          <w:lang w:val="en-GB"/>
        </w:rPr>
      </w:pPr>
    </w:p>
    <w:sectPr w:rsidR="00EB1F53" w:rsidRPr="009816D0" w:rsidSect="00E2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78" w:rsidRDefault="006A6578" w:rsidP="005942D1">
      <w:pPr>
        <w:spacing w:after="0" w:line="240" w:lineRule="auto"/>
      </w:pPr>
      <w:r>
        <w:separator/>
      </w:r>
    </w:p>
  </w:endnote>
  <w:endnote w:type="continuationSeparator" w:id="0">
    <w:p w:rsidR="006A6578" w:rsidRDefault="006A6578" w:rsidP="0059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78" w:rsidRDefault="006A6578" w:rsidP="005942D1">
      <w:pPr>
        <w:spacing w:after="0" w:line="240" w:lineRule="auto"/>
      </w:pPr>
      <w:r>
        <w:separator/>
      </w:r>
    </w:p>
  </w:footnote>
  <w:footnote w:type="continuationSeparator" w:id="0">
    <w:p w:rsidR="006A6578" w:rsidRDefault="006A6578" w:rsidP="0059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41"/>
    <w:rsid w:val="00073A6E"/>
    <w:rsid w:val="000770EF"/>
    <w:rsid w:val="00096D4B"/>
    <w:rsid w:val="000E52A9"/>
    <w:rsid w:val="000F71EE"/>
    <w:rsid w:val="001378D7"/>
    <w:rsid w:val="001C39A3"/>
    <w:rsid w:val="001C73AA"/>
    <w:rsid w:val="00285614"/>
    <w:rsid w:val="002A707E"/>
    <w:rsid w:val="0030634D"/>
    <w:rsid w:val="00326AAA"/>
    <w:rsid w:val="003276A0"/>
    <w:rsid w:val="003F40A9"/>
    <w:rsid w:val="003F7BD8"/>
    <w:rsid w:val="0041504F"/>
    <w:rsid w:val="004431FC"/>
    <w:rsid w:val="004451B4"/>
    <w:rsid w:val="00471BA4"/>
    <w:rsid w:val="004F7B41"/>
    <w:rsid w:val="00516E5E"/>
    <w:rsid w:val="00522D70"/>
    <w:rsid w:val="005712BD"/>
    <w:rsid w:val="0057367C"/>
    <w:rsid w:val="005942D1"/>
    <w:rsid w:val="006330A6"/>
    <w:rsid w:val="00667C41"/>
    <w:rsid w:val="00682791"/>
    <w:rsid w:val="006A6578"/>
    <w:rsid w:val="006C6952"/>
    <w:rsid w:val="006F0635"/>
    <w:rsid w:val="007031EA"/>
    <w:rsid w:val="00780E35"/>
    <w:rsid w:val="00793B45"/>
    <w:rsid w:val="008275BB"/>
    <w:rsid w:val="008E4498"/>
    <w:rsid w:val="00967E1A"/>
    <w:rsid w:val="009816D0"/>
    <w:rsid w:val="00AA550E"/>
    <w:rsid w:val="00B4387F"/>
    <w:rsid w:val="00B604EE"/>
    <w:rsid w:val="00C84374"/>
    <w:rsid w:val="00CC3355"/>
    <w:rsid w:val="00E23701"/>
    <w:rsid w:val="00E5502E"/>
    <w:rsid w:val="00EB1F53"/>
    <w:rsid w:val="00F02E75"/>
    <w:rsid w:val="00F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1DEF"/>
  <w15:docId w15:val="{B8069AAC-3D14-45AE-B935-5F7096F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41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B1F5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1F53"/>
    <w:pPr>
      <w:spacing w:after="0" w:line="240" w:lineRule="auto"/>
    </w:pPr>
    <w:rPr>
      <w:rFonts w:eastAsiaTheme="minorHAnsi"/>
      <w:sz w:val="20"/>
      <w:szCs w:val="20"/>
      <w:lang w:val="el-G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F53"/>
    <w:rPr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594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42D1"/>
  </w:style>
  <w:style w:type="paragraph" w:styleId="Footer">
    <w:name w:val="footer"/>
    <w:basedOn w:val="Normal"/>
    <w:link w:val="FooterChar"/>
    <w:uiPriority w:val="99"/>
    <w:semiHidden/>
    <w:unhideWhenUsed/>
    <w:rsid w:val="00594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4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group.com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71BF-3071-41AA-8DAF-38095C8C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Andri 2017</cp:lastModifiedBy>
  <cp:revision>3</cp:revision>
  <dcterms:created xsi:type="dcterms:W3CDTF">2017-10-31T14:21:00Z</dcterms:created>
  <dcterms:modified xsi:type="dcterms:W3CDTF">2017-10-31T14:21:00Z</dcterms:modified>
</cp:coreProperties>
</file>